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3754" w14:textId="77777777" w:rsidR="005577F5" w:rsidRPr="005577F5" w:rsidRDefault="005577F5" w:rsidP="005577F5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</w:pPr>
      <w:r w:rsidRPr="005577F5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</w:rPr>
        <w:t>La bourse de Londres prend des mesures historiques pour contrer l'envolée des cours du nickel</w:t>
      </w:r>
    </w:p>
    <w:p w14:paraId="75D5011B" w14:textId="77777777" w:rsidR="005577F5" w:rsidRDefault="005577F5" w:rsidP="005577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BE"/>
        </w:rPr>
      </w:pPr>
    </w:p>
    <w:p w14:paraId="49B79589" w14:textId="015A0741" w:rsidR="005577F5" w:rsidRPr="005577F5" w:rsidRDefault="005577F5" w:rsidP="005577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La bourse de Londres a été contrainte d’interrompre les échanges sur le nickel à la suite de l’envolée des cours du métal, qui a plus que doublé sur la séance du mardi 8 mars, pour culminer à 101.365 $/t. L’explication : un opérateur majeur chinois, contraint de renflouer ses positions ou de les déboucler, a créé à lui seul un « short squeeze ».</w:t>
      </w:r>
    </w:p>
    <w:p w14:paraId="22F092B8" w14:textId="77777777" w:rsidR="005577F5" w:rsidRPr="005577F5" w:rsidRDefault="005577F5" w:rsidP="005577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Cette flambée du nickel intervient alors que les mesures punitives à l’encontre la Russie, qui mène la guerre en Ukraine, menacent l’approvisionnement des pays occidentaux.</w:t>
      </w:r>
    </w:p>
    <w:p w14:paraId="0239708B" w14:textId="77777777" w:rsidR="005577F5" w:rsidRPr="005577F5" w:rsidRDefault="005577F5" w:rsidP="005577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C’est la plus grande crise que vient de traverser le LME. « </w:t>
      </w:r>
      <w:r w:rsidRPr="005577F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Les récents évènements sont sans précédent »</w:t>
      </w:r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, a commenté la bourse de Londres.</w:t>
      </w:r>
      <w:r w:rsidRPr="005577F5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BE"/>
        </w:rPr>
        <w:t> « La suspension du cours a engendré un certain nombre de problèmes pour les opérateurs, qui doivent être résolus.</w:t>
      </w:r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»</w:t>
      </w:r>
    </w:p>
    <w:p w14:paraId="709F33D9" w14:textId="77777777" w:rsidR="005577F5" w:rsidRPr="005577F5" w:rsidRDefault="005577F5" w:rsidP="005577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Derrière la montée vertigineuse des cours du nickel, le Chinois </w:t>
      </w:r>
      <w:proofErr w:type="spellStart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Tsingshan</w:t>
      </w:r>
      <w:proofErr w:type="spellEnd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, qui a dû acheter des quantités importantes de nickel pour réduire ses positions courtes et couvrir les appels de marge. L’an dernier, le producteur de nickel et d’acier inoxydable a parié sur une baisse des cours, celui-ci prévoyant un accroissement de l’offre. Or les tensions sur les approvisionnements consécutives à la pandémie de Covid-19, la flambée des prix de l’énergie et récemment la guerre déclarée par la Russie à l’Ukraine en ont décidé autrement. </w:t>
      </w:r>
      <w:proofErr w:type="spellStart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Tsingshan</w:t>
      </w:r>
      <w:proofErr w:type="spellEnd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aurait perdu autour de 8 millions de dollars.</w:t>
      </w:r>
    </w:p>
    <w:p w14:paraId="2695043F" w14:textId="77777777" w:rsidR="005577F5" w:rsidRPr="005577F5" w:rsidRDefault="005577F5" w:rsidP="005577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Les manœuvres militaires de Vladimir Poutine, président de la Russie, pour envahir l’Ukraine </w:t>
      </w:r>
      <w:proofErr w:type="gramStart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et</w:t>
      </w:r>
      <w:proofErr w:type="gramEnd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les sanctions économiques occidentales, ont électrifié le marché, déjà fortement haussier. Les cours du métal ont plus que doublé pour dépasser la barre des 100.000 $/t en quelques heures seulement, conduisant le LME à interrompre les échanges mardi 8 mars. Le métal est en hausse de près de 400% depuis le début de l’année. La flambée des cours a exacerbé la pression sur les détenteurs de positions courtes importantes et ce, d’autant qu’à compter du mardi 8 mars, la bourse de Londres a augmenté les appels de marge de 12,5% à 2.250 $/t.</w:t>
      </w:r>
    </w:p>
    <w:p w14:paraId="3DD0AB65" w14:textId="77777777" w:rsidR="005577F5" w:rsidRPr="005577F5" w:rsidRDefault="005577F5" w:rsidP="005577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Selon une source, les positions courtes de </w:t>
      </w:r>
      <w:proofErr w:type="spellStart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Tsingshan</w:t>
      </w:r>
      <w:proofErr w:type="spellEnd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portaient sur 300.000 tonnes de métal à un cours situé entre 18.000 et 19.000 $/t - un niveau pour la dernière fois enregistré en décembre 2021. On ne sait pas combien de tonnes sont impliquées dans les positions qu’il a closes. Pour un appel de marge fixé à 2.250 $/t, le capital nécessaire pour couvrir 300.000 tonnes de nickel est de 675 millions de dollars.</w:t>
      </w:r>
    </w:p>
    <w:p w14:paraId="094C189D" w14:textId="77777777" w:rsidR="005577F5" w:rsidRPr="005577F5" w:rsidRDefault="005577F5" w:rsidP="005577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Lundi 7 mars, la bourse a également indiqué qu’elle autorisait les traders à différer leurs livraisons, une mesure inhabituelle qui concerne tous les métaux et qui vise à dissiper la pression sur les marchés, encouragés à trouver d’autres sources d’approvisionnement que les matières premières russes.</w:t>
      </w:r>
    </w:p>
    <w:p w14:paraId="4758E71F" w14:textId="77777777" w:rsidR="005577F5" w:rsidRPr="005577F5" w:rsidRDefault="005577F5" w:rsidP="005577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La Russie fournit environ 10 % du nickel mondial, et la société russe </w:t>
      </w:r>
      <w:proofErr w:type="spellStart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Nornickel</w:t>
      </w:r>
      <w:proofErr w:type="spellEnd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est le premier producteur mondial pour les batteries, avec 15 à 20 % de l'offre mondiale, précise </w:t>
      </w:r>
      <w:proofErr w:type="spellStart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Dominic</w:t>
      </w:r>
      <w:proofErr w:type="spellEnd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 </w:t>
      </w:r>
      <w:proofErr w:type="spellStart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O'Kane</w:t>
      </w:r>
      <w:proofErr w:type="spellEnd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 xml:space="preserve">, analyste chez </w:t>
      </w:r>
      <w:proofErr w:type="spellStart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JPMorgan</w:t>
      </w:r>
      <w:proofErr w:type="spellEnd"/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.</w:t>
      </w:r>
    </w:p>
    <w:p w14:paraId="38A770EC" w14:textId="77777777" w:rsidR="005577F5" w:rsidRPr="005577F5" w:rsidRDefault="005577F5" w:rsidP="005577F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</w:pPr>
      <w:r w:rsidRPr="005577F5">
        <w:rPr>
          <w:rFonts w:ascii="Lato" w:eastAsia="Times New Roman" w:hAnsi="Lato" w:cs="Times New Roman"/>
          <w:color w:val="000000"/>
          <w:sz w:val="23"/>
          <w:szCs w:val="23"/>
          <w:lang w:eastAsia="fr-BE"/>
        </w:rPr>
        <w:t> </w:t>
      </w:r>
    </w:p>
    <w:p w14:paraId="0AA3CD5A" w14:textId="77777777" w:rsidR="003A507F" w:rsidRPr="005577F5" w:rsidRDefault="003A507F" w:rsidP="005577F5"/>
    <w:sectPr w:rsidR="003A507F" w:rsidRPr="0055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F5"/>
    <w:rsid w:val="003A507F"/>
    <w:rsid w:val="005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BECA"/>
  <w15:chartTrackingRefBased/>
  <w15:docId w15:val="{823DA146-20A8-47A5-B8DF-8E578A28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2022-03-15T06:54:00Z</dcterms:created>
  <dcterms:modified xsi:type="dcterms:W3CDTF">2022-03-15T06:54:00Z</dcterms:modified>
</cp:coreProperties>
</file>